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162" w:rsidRDefault="00564FFF">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Schedule 24 (Financial Difficulties)</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A93162">
        <w:tc>
          <w:tcPr>
            <w:tcW w:w="2462" w:type="dxa"/>
          </w:tcPr>
          <w:p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A93162">
        <w:tc>
          <w:tcPr>
            <w:tcW w:w="2462" w:type="dxa"/>
          </w:tcPr>
          <w:p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the Buyer that the Supplier has not satisfied any sums properly due under a specified invoice and not subject to a genuine dispute; or</w:t>
            </w:r>
          </w:p>
          <w:p w:rsidR="00A93162" w:rsidRDefault="00564FFF">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any financial indebtedness of the Monitored Company becoming due as a result of an event of default; or</w:t>
            </w:r>
          </w:p>
          <w:p w:rsidR="00A93162" w:rsidRDefault="00564FFF">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Buyer reasonably believes (or would be likely reasonably to believe) could directly impact on the continued performance of any Contract and delivery of the Deliverables in accordance with any  Contract;</w:t>
            </w:r>
          </w:p>
        </w:tc>
      </w:tr>
      <w:tr w:rsidR="00A93162">
        <w:tc>
          <w:tcPr>
            <w:tcW w:w="2462" w:type="dxa"/>
          </w:tcPr>
          <w:p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A93162">
        <w:tc>
          <w:tcPr>
            <w:tcW w:w="2462" w:type="dxa"/>
          </w:tcPr>
          <w:p w:rsidR="00A93162" w:rsidRDefault="00564FFF">
            <w:pPr>
              <w:pBdr>
                <w:top w:val="nil"/>
                <w:left w:val="nil"/>
                <w:bottom w:val="nil"/>
                <w:right w:val="nil"/>
                <w:between w:val="nil"/>
              </w:pBdr>
              <w:spacing w:after="120"/>
              <w:ind w:left="-108" w:firstLine="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A93162" w:rsidRDefault="00B64141" w:rsidP="00B64141">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Supplier</w:t>
            </w:r>
            <w:r w:rsidRPr="00B64141">
              <w:rPr>
                <w:rFonts w:ascii="Arial" w:eastAsia="Arial" w:hAnsi="Arial"/>
                <w:color w:val="000000"/>
                <w:sz w:val="24"/>
                <w:szCs w:val="24"/>
              </w:rPr>
              <w:t xml:space="preserve">, </w:t>
            </w:r>
            <w:r w:rsidR="00564FFF" w:rsidRPr="00B64141">
              <w:rPr>
                <w:rFonts w:ascii="Arial" w:eastAsia="Arial" w:hAnsi="Arial"/>
                <w:color w:val="000000"/>
                <w:sz w:val="24"/>
                <w:szCs w:val="24"/>
              </w:rPr>
              <w:t>the   Guarantor or any Key Subcontractor;</w:t>
            </w:r>
            <w:r w:rsidR="00564FFF">
              <w:rPr>
                <w:rFonts w:ascii="Arial" w:eastAsia="Arial" w:hAnsi="Arial"/>
                <w:color w:val="000000"/>
                <w:sz w:val="24"/>
                <w:szCs w:val="24"/>
              </w:rPr>
              <w:t xml:space="preserve"> and</w:t>
            </w:r>
          </w:p>
        </w:tc>
      </w:tr>
      <w:tr w:rsidR="00A93162">
        <w:tc>
          <w:tcPr>
            <w:tcW w:w="2462" w:type="dxa"/>
          </w:tcPr>
          <w:p w:rsidR="00A93162" w:rsidRDefault="00564FFF" w:rsidP="00503729">
            <w:pPr>
              <w:pBdr>
                <w:top w:val="nil"/>
                <w:left w:val="nil"/>
                <w:bottom w:val="nil"/>
                <w:right w:val="nil"/>
                <w:between w:val="nil"/>
              </w:pBdr>
              <w:spacing w:after="120"/>
              <w:ind w:left="-108" w:hanging="20"/>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A93162" w:rsidRDefault="00564FFF" w:rsidP="00503729">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rsidR="00A93162" w:rsidRDefault="00564FFF">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r>
        <w:rPr>
          <w:rFonts w:ascii="Arial" w:eastAsia="Arial" w:hAnsi="Arial"/>
          <w:color w:val="000000"/>
          <w:sz w:val="24"/>
          <w:szCs w:val="24"/>
        </w:rPr>
        <w:t>under the Contract until the termination or expiry of the Contract.</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the Buyer that as at the Start Date the long term credit ratings issued for the Monitored Companies by each of the Rating Agencies are as set out in Annex 2. </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Buyer in writing if there is any downgrade in the credit rating issued by any Rating Agency for a Monitored Company.</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the Buyer within 10 Working Days of the end of each Contract Year and within 10 Working Days of written request by the Buyer (such requests not to exceed 4 in any Contract Year) with written calculations of the quick ratio for the Monitored Company as at the end of each Contract Year or such other date as may be requested by the Buyer. For these purposes the "quick ratio" on any date means:</w:t>
      </w:r>
    </w:p>
    <w:p w:rsidR="00A93162" w:rsidRDefault="00564FFF">
      <w:pPr>
        <w:ind w:firstLine="1134"/>
        <w:jc w:val="left"/>
        <w:rPr>
          <w:rFonts w:ascii="Arial" w:eastAsia="Arial" w:hAnsi="Arial"/>
          <w:sz w:val="24"/>
          <w:szCs w:val="24"/>
        </w:rPr>
      </w:pPr>
      <w:r>
        <w:rPr>
          <w:rFonts w:ascii="Arial" w:eastAsia="Arial" w:hAnsi="Arial"/>
          <w:noProof/>
          <w:sz w:val="24"/>
          <w:szCs w:val="24"/>
          <w:lang w:eastAsia="en-GB"/>
        </w:rPr>
        <w:lastRenderedPageBreak/>
        <w:drawing>
          <wp:inline distT="0" distB="0" distL="0" distR="0">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lang w:eastAsia="en-GB"/>
        </w:rPr>
        <w:drawing>
          <wp:inline distT="0" distB="0" distL="0" distR="0">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A93162" w:rsidRDefault="00564FFF">
      <w:pPr>
        <w:pBdr>
          <w:top w:val="nil"/>
          <w:left w:val="nil"/>
          <w:bottom w:val="nil"/>
          <w:right w:val="nil"/>
          <w:between w:val="nil"/>
        </w:pBdr>
        <w:tabs>
          <w:tab w:val="left" w:pos="3402"/>
        </w:tabs>
        <w:spacing w:after="220"/>
        <w:ind w:left="720" w:hanging="1134"/>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A93162">
        <w:tc>
          <w:tcPr>
            <w:tcW w:w="1524"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A93162">
        <w:tc>
          <w:tcPr>
            <w:tcW w:w="1524"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A93162">
        <w:tc>
          <w:tcPr>
            <w:tcW w:w="1524"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A93162">
        <w:tc>
          <w:tcPr>
            <w:tcW w:w="1524"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rsidR="00A93162" w:rsidRDefault="00564FFF">
            <w:pPr>
              <w:pBdr>
                <w:top w:val="nil"/>
                <w:left w:val="nil"/>
                <w:bottom w:val="nil"/>
                <w:right w:val="nil"/>
                <w:between w:val="nil"/>
              </w:pBdr>
              <w:tabs>
                <w:tab w:val="left" w:pos="3402"/>
              </w:tabs>
              <w:spacing w:after="220"/>
              <w:ind w:left="1134" w:hanging="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4.3 to 4.6.</w:t>
      </w:r>
    </w:p>
    <w:p w:rsidR="00A93162" w:rsidRDefault="00B64141">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I</w:t>
      </w:r>
      <w:r w:rsidR="00564FFF">
        <w:rPr>
          <w:rFonts w:ascii="Arial" w:eastAsia="Arial" w:hAnsi="Arial"/>
          <w:color w:val="000000"/>
          <w:sz w:val="24"/>
          <w:szCs w:val="24"/>
        </w:rPr>
        <w:t>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4.3 without first giving the Supplier ten (10) Working Days to:</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rectify such late or non-payment; or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the Buyer's reasonable satisfaction that there is a valid reason for late or non-payment.]</w:t>
      </w:r>
    </w:p>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the Contract and delivery of the Deliverables in accordance the Contract; and</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 xml:space="preserve">where the Buyer reasonably believes (taking into account the discussions and any representations made under Paragraph 4.3.1) that the Financial Distress Event could impact on the continued performance of the Contract and delivery of the Deliverables in accordance with the Contract: </w:t>
      </w:r>
    </w:p>
    <w:p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Buyer for its Approval, a draft Financial Distress Service Continuity Plan as soon as reasonably practicable (and in any event, within ten (10) Working Days of the initial notification (or awareness) of the Financial Distress Event); and</w:t>
      </w:r>
    </w:p>
    <w:p w:rsidR="00A93162" w:rsidRDefault="00564FFF">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Monitored Company as the Buyer may reasonably require.</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Approved by the Buyer or referred to the Dispute Resolution Procedure.</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the Buyer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the Buyer, the Supplier shall:</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 xml:space="preserve">on a regular basis (which shall not be less than Monthly), review the Financial Distress Service Continuity Plan and assess whether it remains adequate and up to date to ensure </w:t>
      </w:r>
      <w:r>
        <w:rPr>
          <w:rFonts w:ascii="Arial" w:eastAsia="Arial" w:hAnsi="Arial"/>
          <w:color w:val="000000"/>
          <w:sz w:val="24"/>
          <w:szCs w:val="24"/>
        </w:rPr>
        <w:lastRenderedPageBreak/>
        <w:t>the continued performance the Contract and delivery of the Deliverables in accordance with the Contract;</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t xml:space="preserve">where the Financial Distress Service Continuity Plan is not adequate or up to date in accordance with Paragraph 4.6.1, submit an updated Financial Distress Service Continuity Plan to the Buyer for its Approval, and the provisions of Paragraphs 4.5 and 4.6 shall apply to the review and Approval process for the updated Financial Distress Service Continuity Plan; and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comply with the Financial Distress Service Continuity Plan (including any updated Financial Distress Service Continuity Plan).</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4.6. </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the Buyer can terminate for financial distress </w:t>
      </w:r>
    </w:p>
    <w:p w:rsidR="00A93162" w:rsidRDefault="00564FFF">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 xml:space="preserve">The Buyer shall be entitled to terminate this Contract for material Default if: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Buyer of a Financial Distress Event in accordance with Paragraph 3.4; </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fail to agree a Financial Distress Service Continuity Plan (or any updated Financial Distress Service Continuity Plan) in accordance with Paragraphs 4.3 to 4.5; and/or</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rsidR="00A93162" w:rsidRDefault="00564FF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What happens If your credit rating is still good</w:t>
      </w:r>
    </w:p>
    <w:p w:rsidR="00A93162" w:rsidRDefault="00564FFF">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Buyer’s rights and remedies under Paragraph 5, if, following the occurrence of a Financial Distress Event, the Rating Agencies review and report subsequently that the credit ratings do not drop below the relevant Credit Rating Threshold, then:</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A93162" w:rsidRDefault="00564FF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require the Supplier to provide financial information in accordance with Paragraph 4.3.2(b). </w:t>
      </w:r>
    </w:p>
    <w:p w:rsidR="00A93162" w:rsidRDefault="00A93162">
      <w:pPr>
        <w:pBdr>
          <w:top w:val="nil"/>
          <w:left w:val="nil"/>
          <w:bottom w:val="nil"/>
          <w:right w:val="nil"/>
          <w:between w:val="nil"/>
        </w:pBdr>
        <w:spacing w:after="0"/>
        <w:jc w:val="left"/>
        <w:rPr>
          <w:rFonts w:ascii="Arial" w:eastAsia="Arial" w:hAnsi="Arial"/>
          <w:color w:val="FFFFFF"/>
          <w:sz w:val="24"/>
          <w:szCs w:val="24"/>
        </w:rPr>
      </w:pPr>
    </w:p>
    <w:p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rsidR="00A93162" w:rsidRDefault="00564FFF">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rsidR="00A93162" w:rsidRDefault="00254221" w:rsidP="00254221">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sz w:val="24"/>
          <w:szCs w:val="24"/>
          <w:highlight w:val="yellow"/>
        </w:rPr>
        <w:t>[REDACTED]</w:t>
      </w:r>
      <w:bookmarkStart w:id="21" w:name="_GoBack"/>
      <w:bookmarkEnd w:id="21"/>
    </w:p>
    <w:p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lastRenderedPageBreak/>
        <w:t>ANNEX 2: CREDIT RATINGS &amp; CREDIT RATING THRESHOLDS</w:t>
      </w:r>
    </w:p>
    <w:p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93162">
        <w:tc>
          <w:tcPr>
            <w:tcW w:w="3033" w:type="dxa"/>
            <w:tcBorders>
              <w:top w:val="single" w:sz="4" w:space="0" w:color="000000"/>
            </w:tcBorders>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Entity</w:t>
            </w:r>
          </w:p>
        </w:tc>
        <w:tc>
          <w:tcPr>
            <w:tcW w:w="3017" w:type="dxa"/>
            <w:tcBorders>
              <w:top w:val="single" w:sz="4" w:space="0" w:color="000000"/>
            </w:tcBorders>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Credit rating (long term)</w:t>
            </w:r>
          </w:p>
        </w:tc>
        <w:tc>
          <w:tcPr>
            <w:tcW w:w="2966" w:type="dxa"/>
            <w:tcBorders>
              <w:top w:val="single" w:sz="4" w:space="0" w:color="000000"/>
            </w:tcBorders>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b/>
                <w:color w:val="000000"/>
                <w:sz w:val="24"/>
                <w:szCs w:val="24"/>
              </w:rPr>
            </w:pPr>
            <w:r>
              <w:rPr>
                <w:rFonts w:ascii="Arial" w:eastAsia="Arial" w:hAnsi="Arial"/>
                <w:b/>
                <w:color w:val="000000"/>
                <w:sz w:val="24"/>
                <w:szCs w:val="24"/>
              </w:rPr>
              <w:t>Credit Rating Threshold</w:t>
            </w:r>
          </w:p>
        </w:tc>
      </w:tr>
      <w:tr w:rsidR="00A93162">
        <w:tc>
          <w:tcPr>
            <w:tcW w:w="3033" w:type="dxa"/>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Supplier</w:t>
            </w:r>
          </w:p>
        </w:tc>
        <w:tc>
          <w:tcPr>
            <w:tcW w:w="3017" w:type="dxa"/>
            <w:shd w:val="clear" w:color="auto" w:fill="FFFFFF"/>
          </w:tcPr>
          <w:p w:rsidR="00A93162" w:rsidRDefault="00564FFF">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color w:val="000000"/>
                <w:sz w:val="24"/>
                <w:szCs w:val="24"/>
              </w:rPr>
              <w:t>[D&amp;B Threshold]</w:t>
            </w:r>
          </w:p>
        </w:tc>
        <w:tc>
          <w:tcPr>
            <w:tcW w:w="2966" w:type="dxa"/>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r w:rsidR="00A93162">
        <w:tc>
          <w:tcPr>
            <w:tcW w:w="3033" w:type="dxa"/>
            <w:shd w:val="clear" w:color="auto" w:fill="FFFFFF"/>
          </w:tcPr>
          <w:p w:rsidR="00A93162" w:rsidRDefault="00E35902" w:rsidP="00E35902">
            <w:pPr>
              <w:keepNext/>
              <w:pBdr>
                <w:top w:val="nil"/>
                <w:left w:val="nil"/>
                <w:bottom w:val="nil"/>
                <w:right w:val="nil"/>
                <w:between w:val="nil"/>
              </w:pBdr>
              <w:spacing w:before="240" w:after="120"/>
              <w:ind w:left="142" w:hanging="142"/>
              <w:jc w:val="left"/>
              <w:rPr>
                <w:rFonts w:ascii="Arial" w:eastAsia="Arial" w:hAnsi="Arial"/>
                <w:color w:val="000000"/>
                <w:sz w:val="24"/>
                <w:szCs w:val="24"/>
              </w:rPr>
            </w:pPr>
            <w:r>
              <w:rPr>
                <w:rFonts w:ascii="Arial" w:eastAsia="Arial" w:hAnsi="Arial"/>
                <w:sz w:val="24"/>
                <w:szCs w:val="24"/>
                <w:highlight w:val="yellow"/>
              </w:rPr>
              <w:t>[REDACTED]</w:t>
            </w:r>
          </w:p>
        </w:tc>
        <w:tc>
          <w:tcPr>
            <w:tcW w:w="3017" w:type="dxa"/>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c>
          <w:tcPr>
            <w:tcW w:w="2966" w:type="dxa"/>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r w:rsidR="00A93162">
        <w:tc>
          <w:tcPr>
            <w:tcW w:w="3033" w:type="dxa"/>
            <w:tcBorders>
              <w:bottom w:val="single" w:sz="4" w:space="0" w:color="000000"/>
            </w:tcBorders>
            <w:shd w:val="clear" w:color="auto" w:fill="FFFFFF"/>
          </w:tcPr>
          <w:p w:rsidR="00A93162" w:rsidRDefault="00E35902" w:rsidP="00E35902">
            <w:pPr>
              <w:keepNext/>
              <w:pBdr>
                <w:top w:val="nil"/>
                <w:left w:val="nil"/>
                <w:bottom w:val="nil"/>
                <w:right w:val="nil"/>
                <w:between w:val="nil"/>
              </w:pBdr>
              <w:spacing w:before="240" w:after="120"/>
              <w:ind w:left="142" w:hanging="142"/>
              <w:jc w:val="left"/>
              <w:rPr>
                <w:rFonts w:ascii="Arial" w:eastAsia="Arial" w:hAnsi="Arial"/>
                <w:color w:val="000000"/>
                <w:sz w:val="24"/>
                <w:szCs w:val="24"/>
                <w:highlight w:val="yellow"/>
              </w:rPr>
            </w:pPr>
            <w:r>
              <w:rPr>
                <w:rFonts w:ascii="Arial" w:eastAsia="Arial" w:hAnsi="Arial"/>
                <w:sz w:val="24"/>
                <w:szCs w:val="24"/>
                <w:highlight w:val="yellow"/>
              </w:rPr>
              <w:t>[REDACTED]</w:t>
            </w:r>
          </w:p>
        </w:tc>
        <w:tc>
          <w:tcPr>
            <w:tcW w:w="3017" w:type="dxa"/>
            <w:tcBorders>
              <w:bottom w:val="single" w:sz="4" w:space="0" w:color="000000"/>
            </w:tcBorders>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c>
          <w:tcPr>
            <w:tcW w:w="2966" w:type="dxa"/>
            <w:tcBorders>
              <w:bottom w:val="single" w:sz="4" w:space="0" w:color="000000"/>
            </w:tcBorders>
            <w:shd w:val="clear" w:color="auto" w:fill="FFFFFF"/>
          </w:tcPr>
          <w:p w:rsidR="00A93162" w:rsidRDefault="00A93162">
            <w:pPr>
              <w:keepNext/>
              <w:pBdr>
                <w:top w:val="nil"/>
                <w:left w:val="nil"/>
                <w:bottom w:val="nil"/>
                <w:right w:val="nil"/>
                <w:between w:val="nil"/>
              </w:pBdr>
              <w:spacing w:before="240" w:after="120"/>
              <w:ind w:left="142" w:hanging="142"/>
              <w:jc w:val="left"/>
              <w:rPr>
                <w:rFonts w:ascii="Arial" w:eastAsia="Arial" w:hAnsi="Arial"/>
                <w:color w:val="000000"/>
                <w:sz w:val="24"/>
                <w:szCs w:val="24"/>
              </w:rPr>
            </w:pPr>
          </w:p>
        </w:tc>
      </w:tr>
    </w:tbl>
    <w:p w:rsidR="00A93162" w:rsidRDefault="00A93162">
      <w:pPr>
        <w:spacing w:after="0"/>
        <w:rPr>
          <w:rFonts w:ascii="Arial" w:eastAsia="Arial" w:hAnsi="Arial"/>
          <w:sz w:val="24"/>
          <w:szCs w:val="24"/>
        </w:rPr>
      </w:pPr>
    </w:p>
    <w:sectPr w:rsidR="00A93162">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48B7" w:rsidRDefault="002748B7">
      <w:pPr>
        <w:spacing w:after="0"/>
      </w:pPr>
      <w:r>
        <w:separator/>
      </w:r>
    </w:p>
  </w:endnote>
  <w:endnote w:type="continuationSeparator" w:id="0">
    <w:p w:rsidR="002748B7" w:rsidRDefault="002748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162" w:rsidRDefault="00564FFF">
    <w:pPr>
      <w:tabs>
        <w:tab w:val="center" w:pos="4513"/>
        <w:tab w:val="right" w:pos="9026"/>
      </w:tabs>
      <w:spacing w:after="0"/>
      <w:rPr>
        <w:rFonts w:ascii="Arial" w:eastAsia="Arial" w:hAnsi="Arial"/>
        <w:sz w:val="20"/>
        <w:szCs w:val="20"/>
      </w:rPr>
    </w:pPr>
    <w:r>
      <w:rPr>
        <w:rFonts w:ascii="Arial" w:eastAsia="Arial" w:hAnsi="Arial"/>
        <w:sz w:val="20"/>
        <w:szCs w:val="20"/>
      </w:rPr>
      <w:tab/>
      <w:t xml:space="preserve">                                           </w:t>
    </w:r>
  </w:p>
  <w:p w:rsidR="00A93162" w:rsidRDefault="00564FFF">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rsidR="00A93162" w:rsidRDefault="00564FF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254221">
      <w:rPr>
        <w:rFonts w:ascii="Arial" w:eastAsia="Arial" w:hAnsi="Arial"/>
        <w:noProof/>
        <w:color w:val="BFBFBF"/>
        <w:sz w:val="20"/>
        <w:szCs w:val="20"/>
      </w:rPr>
      <w:t>6</w:t>
    </w:r>
    <w:r>
      <w:rPr>
        <w:rFonts w:ascii="Arial" w:eastAsia="Arial" w:hAnsi="Arial"/>
        <w:color w:val="BFBFBF"/>
        <w:sz w:val="20"/>
        <w:szCs w:val="20"/>
      </w:rPr>
      <w:fldChar w:fldCharType="end"/>
    </w:r>
  </w:p>
  <w:p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BFBFBF"/>
        <w:sz w:val="20"/>
        <w:szCs w:val="20"/>
      </w:rPr>
      <w:t>Model Version: v1.0</w:t>
    </w:r>
  </w:p>
  <w:p w:rsidR="00A93162" w:rsidRDefault="00564FFF">
    <w:pPr>
      <w:spacing w:after="0"/>
      <w:rPr>
        <w:rFonts w:ascii="Arial" w:eastAsia="Arial" w:hAnsi="Arial"/>
        <w:sz w:val="20"/>
        <w:szCs w:val="20"/>
      </w:rPr>
    </w:pP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162" w:rsidRDefault="00564FFF">
    <w:pPr>
      <w:tabs>
        <w:tab w:val="center" w:pos="4513"/>
        <w:tab w:val="right" w:pos="9026"/>
      </w:tabs>
      <w:spacing w:after="0"/>
      <w:rPr>
        <w:color w:val="BFBFBF"/>
      </w:rPr>
    </w:pPr>
    <w:r>
      <w:rPr>
        <w:color w:val="BFBFBF"/>
      </w:rPr>
      <w:t>Framework Ref: RM</w:t>
    </w:r>
    <w:r>
      <w:rPr>
        <w:color w:val="BFBFBF"/>
      </w:rPr>
      <w:tab/>
      <w:t xml:space="preserve">                                           </w:t>
    </w:r>
  </w:p>
  <w:p w:rsidR="00A93162" w:rsidRDefault="00564FFF">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A93162" w:rsidRDefault="00564FFF">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48B7" w:rsidRDefault="002748B7">
      <w:pPr>
        <w:spacing w:after="0"/>
      </w:pPr>
      <w:r>
        <w:separator/>
      </w:r>
    </w:p>
  </w:footnote>
  <w:footnote w:type="continuationSeparator" w:id="0">
    <w:p w:rsidR="002748B7" w:rsidRDefault="002748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3162" w:rsidRDefault="00564FF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24 (Financial Difficulties)</w:t>
    </w:r>
  </w:p>
  <w:p w:rsidR="00A93162" w:rsidRDefault="00751D18">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 </w:t>
    </w:r>
    <w:r w:rsidR="00564FFF">
      <w:rPr>
        <w:rFonts w:ascii="Arial" w:eastAsia="Arial" w:hAnsi="Arial"/>
        <w:color w:val="000000"/>
        <w:sz w:val="20"/>
        <w:szCs w:val="20"/>
      </w:rPr>
      <w:t>Crown Copyright</w:t>
    </w:r>
    <w:r w:rsidR="00564FFF">
      <w:rPr>
        <w:rFonts w:ascii="Arial" w:eastAsia="Arial" w:hAnsi="Arial"/>
        <w:color w:val="000000"/>
        <w:sz w:val="14"/>
        <w:szCs w:val="14"/>
      </w:rPr>
      <w:t xml:space="preserve"> </w:t>
    </w:r>
    <w:r w:rsidR="00564FFF">
      <w:rPr>
        <w:rFonts w:ascii="Arial" w:eastAsia="Arial" w:hAnsi="Arial"/>
        <w:color w:val="000000"/>
        <w:sz w:val="20"/>
        <w:szCs w:val="20"/>
      </w:rPr>
      <w:t>20</w:t>
    </w:r>
    <w:r w:rsidR="00533757">
      <w:rPr>
        <w:rFonts w:ascii="Arial" w:eastAsia="Arial" w:hAnsi="Arial"/>
        <w:color w:val="000000"/>
        <w:sz w:val="20"/>
        <w:szCs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9660A"/>
    <w:multiLevelType w:val="multilevel"/>
    <w:tmpl w:val="9DD455B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CE716C6"/>
    <w:multiLevelType w:val="multilevel"/>
    <w:tmpl w:val="AECAF63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162"/>
    <w:rsid w:val="00254221"/>
    <w:rsid w:val="00256DAD"/>
    <w:rsid w:val="002748B7"/>
    <w:rsid w:val="00503729"/>
    <w:rsid w:val="00533757"/>
    <w:rsid w:val="00564FFF"/>
    <w:rsid w:val="00751D18"/>
    <w:rsid w:val="00A93162"/>
    <w:rsid w:val="00B64141"/>
    <w:rsid w:val="00E35902"/>
    <w:rsid w:val="00EB64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FCE63"/>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Y5nWWeVfkLxhglUrV590OylWcQ==">AMUW2mWqel/z0DKFJ7/+KC+laipHuTH+RZaGZjeJQTr46D3/i2cGivcBYw5U2McCCZ/kQhio5TCCHRXv/QX9q2H7VJLtwRbCYZX1Vslqz8k16QqLywp5AGiBR5EoNTjTpPZyyPyrcCakAE8dr13BkIyox5qOqYJNTPLb1MkYHa+y6nASYamJP69wfFPrXiV+uTa3dTvgDvdfUHkZuY+el5WPxLrB7D3YlHZy8FcugYzKNSkxxO/osljkmGywRS2lKvFZBU2gwqFwhv9z0bM2IBp2Zf5qs4aOYTZQk+6DTiCz+A3X77E8+ox7m2M4b4TGwNuvV9Xalfj0ykA0HdBU7isJioWxDFugVJxLoeY+fYO6s7lniaUzYSoZlvFjsnyE3zlQkBVhtZpU30Wge/1U1k9waJspZwwnr7n8HWHuukaSaJRihqNt8mRNBv0Xlq3rEKaB4Cdrbd0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1569</Words>
  <Characters>8946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Baxter</dc:creator>
  <cp:lastModifiedBy>leah morrow</cp:lastModifiedBy>
  <cp:revision>2</cp:revision>
  <dcterms:created xsi:type="dcterms:W3CDTF">2020-06-22T17:38:00Z</dcterms:created>
  <dcterms:modified xsi:type="dcterms:W3CDTF">2020-06-22T17:38:00Z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